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управляющую компанию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управляющую компанию" и зафиксировать требование по теме "Жалоба в управляющую компанию".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управляющую компанию;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управляющая компания, ЖКХ, жалоба, собственник, общедомовое имущество, протечка, ЖК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https://blankovik.ru/documents/zhile/zhaloba-v-upravlyayushchuyu-kompaniyu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